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C3BEB" w:rsidRPr="00C83F50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769345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C3BEB" w:rsidRPr="00C83F50" w:rsidTr="00173DA0">
              <w:tc>
                <w:tcPr>
                  <w:tcW w:w="4111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BC3BEB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C3BEB" w:rsidRPr="00C83F50" w:rsidRDefault="00BC3BEB" w:rsidP="00BC3BEB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1801C9" w:rsidRDefault="002A326E" w:rsidP="008D0B9B">
      <w:pPr>
        <w:tabs>
          <w:tab w:val="left" w:pos="6140"/>
        </w:tabs>
        <w:rPr>
          <w:sz w:val="28"/>
          <w:szCs w:val="28"/>
          <w:u w:val="single"/>
          <w:lang w:val="uk-UA"/>
        </w:rPr>
      </w:pPr>
      <w:r w:rsidRPr="001801C9">
        <w:rPr>
          <w:sz w:val="28"/>
          <w:szCs w:val="28"/>
          <w:lang w:val="uk-UA"/>
        </w:rPr>
        <w:t xml:space="preserve">Від </w:t>
      </w:r>
      <w:r w:rsidR="00171442">
        <w:rPr>
          <w:sz w:val="28"/>
          <w:szCs w:val="28"/>
          <w:u w:val="single"/>
          <w:lang w:val="uk-UA"/>
        </w:rPr>
        <w:t>23</w:t>
      </w:r>
      <w:r w:rsidR="00F30172">
        <w:rPr>
          <w:sz w:val="28"/>
          <w:szCs w:val="28"/>
          <w:u w:val="single"/>
          <w:lang w:val="uk-UA"/>
        </w:rPr>
        <w:t>.04</w:t>
      </w:r>
      <w:r w:rsidR="00BC3BEB" w:rsidRPr="001801C9">
        <w:rPr>
          <w:sz w:val="28"/>
          <w:szCs w:val="28"/>
          <w:u w:val="single"/>
          <w:lang w:val="uk-UA"/>
        </w:rPr>
        <w:t>.2019</w:t>
      </w:r>
      <w:r w:rsidRPr="001801C9">
        <w:rPr>
          <w:sz w:val="28"/>
          <w:szCs w:val="28"/>
          <w:lang w:val="uk-UA"/>
        </w:rPr>
        <w:t xml:space="preserve"> №</w:t>
      </w:r>
      <w:r w:rsidR="00171442">
        <w:rPr>
          <w:sz w:val="28"/>
          <w:szCs w:val="28"/>
          <w:lang w:val="uk-UA"/>
        </w:rPr>
        <w:t xml:space="preserve"> </w:t>
      </w:r>
      <w:r w:rsidR="00171442" w:rsidRPr="00171442">
        <w:rPr>
          <w:sz w:val="28"/>
          <w:szCs w:val="28"/>
          <w:u w:val="single"/>
          <w:lang w:val="uk-UA"/>
        </w:rPr>
        <w:t>95</w:t>
      </w:r>
      <w:r w:rsidRPr="001801C9">
        <w:rPr>
          <w:sz w:val="28"/>
          <w:szCs w:val="28"/>
          <w:lang w:val="uk-UA"/>
        </w:rPr>
        <w:t xml:space="preserve"> </w:t>
      </w:r>
    </w:p>
    <w:p w:rsidR="002A326E" w:rsidRPr="002A326E" w:rsidRDefault="002A326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171442" w:rsidRDefault="00171442" w:rsidP="00171442">
      <w:pPr>
        <w:ind w:right="453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комплексної перевірки діяльності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та підпорядкованих йому закладів освіти щодо дотримання норм законодавства України в галузі освіти</w:t>
      </w:r>
    </w:p>
    <w:p w:rsidR="002A326E" w:rsidRPr="00FC5A83" w:rsidRDefault="002A326E" w:rsidP="002A326E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2A326E" w:rsidRPr="00FC5A83" w:rsidRDefault="002A326E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171442" w:rsidRDefault="00171442" w:rsidP="001714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від 23.04.2019 № 107 «Про підсумки комплексної перевірки діяльності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та підпорядкованих йому закладів освіти щодо дотримання норм законодавства України в галузі освіти» в період з 11.03.2019 по 25.03.2019 комісіями Департаменту науки і освіти Харківської обласної державної адміністрації, Департаменту освіти Харківської міської ради здійснено комплексну перевірку діяльності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та підпорядкованих йому закладів освіти щодо дотримання норм законодавства України в галузі освіти за період з 2016 по 2019 роки. </w:t>
      </w:r>
    </w:p>
    <w:p w:rsidR="00171442" w:rsidRDefault="00171442" w:rsidP="001714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 підсумками комплексної перевірки встановлено, що організаційна робота Управління освіти відповідає достатньому рівню, коефіцієнт – </w:t>
      </w:r>
      <w:r>
        <w:rPr>
          <w:bCs/>
          <w:sz w:val="28"/>
          <w:szCs w:val="28"/>
          <w:lang w:val="uk-UA" w:eastAsia="uk-UA"/>
        </w:rPr>
        <w:t xml:space="preserve">0,906, </w:t>
      </w:r>
      <w:r>
        <w:rPr>
          <w:sz w:val="28"/>
          <w:szCs w:val="28"/>
          <w:lang w:val="uk-UA"/>
        </w:rPr>
        <w:t xml:space="preserve">усереднений коефіцієнт по закладах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відповідає достатньому рівню, коефіцієнт – 0,925, окремі напрямки діяльності Управління освіти та закладів освіти потребують коригування.</w:t>
      </w:r>
    </w:p>
    <w:p w:rsidR="00FD4B23" w:rsidRDefault="00171442" w:rsidP="001714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вищевикладеного  </w:t>
      </w:r>
    </w:p>
    <w:p w:rsidR="003A77EA" w:rsidRDefault="003A77EA" w:rsidP="00171442">
      <w:pPr>
        <w:ind w:firstLine="567"/>
        <w:jc w:val="both"/>
        <w:rPr>
          <w:sz w:val="28"/>
          <w:szCs w:val="28"/>
          <w:lang w:val="uk-UA"/>
        </w:rPr>
      </w:pPr>
    </w:p>
    <w:p w:rsidR="003A77EA" w:rsidRDefault="003A77EA" w:rsidP="00171442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71442" w:rsidRDefault="00171442" w:rsidP="006A71E0">
      <w:pPr>
        <w:jc w:val="both"/>
        <w:rPr>
          <w:sz w:val="20"/>
          <w:szCs w:val="20"/>
          <w:lang w:val="uk-UA"/>
        </w:rPr>
      </w:pPr>
    </w:p>
    <w:p w:rsidR="00171442" w:rsidRDefault="00171442" w:rsidP="00171442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Заступнику начальника Управління освіти </w:t>
      </w:r>
      <w:proofErr w:type="spellStart"/>
      <w:r>
        <w:rPr>
          <w:sz w:val="28"/>
          <w:lang w:val="uk-UA"/>
        </w:rPr>
        <w:t>Прохоренко</w:t>
      </w:r>
      <w:proofErr w:type="spellEnd"/>
      <w:r>
        <w:rPr>
          <w:sz w:val="28"/>
          <w:lang w:val="uk-UA"/>
        </w:rPr>
        <w:t xml:space="preserve"> О.В.:</w:t>
      </w:r>
    </w:p>
    <w:p w:rsidR="00171442" w:rsidRDefault="00171442" w:rsidP="00171442">
      <w:pPr>
        <w:widowControl w:val="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Департаменту освіти заходи щодо усунення виявлених у перевірених закладах та Управлінні освіти недоліків.</w:t>
      </w:r>
    </w:p>
    <w:p w:rsidR="00171442" w:rsidRDefault="00171442" w:rsidP="00171442">
      <w:pPr>
        <w:widowControl w:val="0"/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15.05.2019</w:t>
      </w:r>
    </w:p>
    <w:p w:rsidR="00171442" w:rsidRDefault="00171442" w:rsidP="00171442">
      <w:pPr>
        <w:widowControl w:val="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узагальнену інформацію про усунення виявлених недоліків по Управлінню освіти та підпорядкованих закладах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району.</w:t>
      </w:r>
    </w:p>
    <w:p w:rsidR="00171442" w:rsidRDefault="00171442" w:rsidP="00171442">
      <w:pPr>
        <w:widowControl w:val="0"/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15.10.2019</w:t>
      </w:r>
    </w:p>
    <w:p w:rsidR="00171442" w:rsidRDefault="00171442" w:rsidP="00171442">
      <w:pPr>
        <w:widowControl w:val="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Організувати перевірку об’єктивності наданої інформації підпорядкованими закладами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про усунення виявлених недоліків.</w:t>
      </w:r>
    </w:p>
    <w:p w:rsidR="00171442" w:rsidRDefault="00171442" w:rsidP="00171442">
      <w:pPr>
        <w:widowControl w:val="0"/>
        <w:tabs>
          <w:tab w:val="left" w:pos="993"/>
          <w:tab w:val="left" w:pos="1276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15.11.2019</w:t>
      </w:r>
    </w:p>
    <w:p w:rsidR="00171442" w:rsidRDefault="00171442" w:rsidP="00171442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Керівникам структурних підрозділів Управління освіти, головним спеціалістам Управління освіти, керівникам закладів освіти:</w:t>
      </w:r>
    </w:p>
    <w:p w:rsidR="00171442" w:rsidRDefault="00171442" w:rsidP="00171442">
      <w:pPr>
        <w:widowControl w:val="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Проаналізувати </w:t>
      </w:r>
      <w:r w:rsidRPr="00171442">
        <w:rPr>
          <w:sz w:val="28"/>
          <w:lang w:val="uk-UA"/>
        </w:rPr>
        <w:t>до</w:t>
      </w:r>
      <w:r>
        <w:rPr>
          <w:sz w:val="28"/>
          <w:lang w:val="uk-UA"/>
        </w:rPr>
        <w:t>відку про підсумки</w:t>
      </w:r>
      <w:r w:rsidRPr="00171442">
        <w:rPr>
          <w:sz w:val="28"/>
          <w:lang w:val="uk-UA"/>
        </w:rPr>
        <w:t xml:space="preserve"> </w:t>
      </w:r>
      <w:r w:rsidRPr="00171442">
        <w:rPr>
          <w:sz w:val="28"/>
          <w:szCs w:val="28"/>
          <w:lang w:val="uk-UA"/>
        </w:rPr>
        <w:t xml:space="preserve">комплексної перевірки діяльності Управління освіти адміністрації </w:t>
      </w:r>
      <w:proofErr w:type="spellStart"/>
      <w:r w:rsidRPr="00171442">
        <w:rPr>
          <w:sz w:val="28"/>
          <w:szCs w:val="28"/>
          <w:lang w:val="uk-UA"/>
        </w:rPr>
        <w:t>Основ’янського</w:t>
      </w:r>
      <w:proofErr w:type="spellEnd"/>
      <w:r w:rsidRPr="00171442">
        <w:rPr>
          <w:sz w:val="28"/>
          <w:szCs w:val="28"/>
          <w:lang w:val="uk-UA"/>
        </w:rPr>
        <w:t xml:space="preserve"> району Харківської міської ради та підпорядкованих йому закладів освіти щодо дотримання норм законодавства України в галузі освіти</w:t>
      </w:r>
      <w:r w:rsidR="003A77EA">
        <w:rPr>
          <w:sz w:val="28"/>
          <w:szCs w:val="28"/>
          <w:lang w:val="uk-UA"/>
        </w:rPr>
        <w:t xml:space="preserve"> за період 2016-2019 років</w:t>
      </w:r>
      <w:r w:rsidRPr="00171442"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з’ясувати причини виявлених недоліків та внести корективи у власну управлінську діяльність.</w:t>
      </w:r>
    </w:p>
    <w:p w:rsidR="00171442" w:rsidRDefault="00171442" w:rsidP="00171442">
      <w:pPr>
        <w:widowControl w:val="0"/>
        <w:tabs>
          <w:tab w:val="left" w:pos="1134"/>
        </w:tabs>
        <w:ind w:left="567"/>
        <w:jc w:val="right"/>
        <w:rPr>
          <w:sz w:val="28"/>
          <w:lang w:val="uk-UA"/>
        </w:rPr>
      </w:pPr>
      <w:r>
        <w:rPr>
          <w:sz w:val="28"/>
          <w:lang w:val="uk-UA"/>
        </w:rPr>
        <w:t>До 26.04.2019</w:t>
      </w:r>
    </w:p>
    <w:p w:rsidR="00171442" w:rsidRDefault="00171442" w:rsidP="00171442">
      <w:pPr>
        <w:widowControl w:val="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заходи щодо усунення виявлених у ході перевірки недоліків та надати заступнику начальника Управління освіти в електронному та друкованому вигляді.</w:t>
      </w:r>
    </w:p>
    <w:p w:rsidR="00171442" w:rsidRDefault="00171442" w:rsidP="00171442">
      <w:pPr>
        <w:widowControl w:val="0"/>
        <w:tabs>
          <w:tab w:val="left" w:pos="1134"/>
        </w:tabs>
        <w:ind w:left="567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До 03.05.2019</w:t>
      </w:r>
    </w:p>
    <w:p w:rsidR="00171442" w:rsidRDefault="00171442" w:rsidP="00171442">
      <w:pPr>
        <w:widowControl w:val="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виконання заходів </w:t>
      </w:r>
      <w:r>
        <w:rPr>
          <w:sz w:val="28"/>
          <w:szCs w:val="28"/>
          <w:lang w:val="uk-UA"/>
        </w:rPr>
        <w:t>щодо усунення виявлених у ході перевірки недоліків.</w:t>
      </w:r>
    </w:p>
    <w:p w:rsidR="00171442" w:rsidRDefault="00171442" w:rsidP="00171442">
      <w:pPr>
        <w:widowControl w:val="0"/>
        <w:tabs>
          <w:tab w:val="left" w:pos="1134"/>
        </w:tabs>
        <w:ind w:left="567"/>
        <w:jc w:val="right"/>
        <w:rPr>
          <w:sz w:val="28"/>
          <w:lang w:val="uk-UA"/>
        </w:rPr>
      </w:pPr>
      <w:r>
        <w:rPr>
          <w:sz w:val="28"/>
          <w:lang w:val="uk-UA"/>
        </w:rPr>
        <w:t>До 01.10.2019</w:t>
      </w:r>
    </w:p>
    <w:p w:rsidR="00171442" w:rsidRDefault="00171442" w:rsidP="00171442">
      <w:pPr>
        <w:widowControl w:val="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Надати інформацію про усунення виявлених недоліків.</w:t>
      </w:r>
    </w:p>
    <w:p w:rsidR="00171442" w:rsidRDefault="00171442" w:rsidP="00171442">
      <w:pPr>
        <w:widowControl w:val="0"/>
        <w:tabs>
          <w:tab w:val="left" w:pos="1134"/>
        </w:tabs>
        <w:spacing w:line="276" w:lineRule="auto"/>
        <w:ind w:left="567"/>
        <w:jc w:val="right"/>
        <w:rPr>
          <w:sz w:val="28"/>
          <w:lang w:val="uk-UA"/>
        </w:rPr>
      </w:pPr>
      <w:r>
        <w:rPr>
          <w:sz w:val="28"/>
          <w:lang w:val="uk-UA"/>
        </w:rPr>
        <w:t>До 01.10.2019</w:t>
      </w:r>
    </w:p>
    <w:p w:rsidR="00171442" w:rsidRDefault="00171442" w:rsidP="00171442">
      <w:pPr>
        <w:tabs>
          <w:tab w:val="left" w:pos="6140"/>
        </w:tabs>
        <w:rPr>
          <w:sz w:val="28"/>
          <w:szCs w:val="28"/>
          <w:lang w:val="uk-UA"/>
        </w:rPr>
      </w:pPr>
    </w:p>
    <w:p w:rsidR="00171442" w:rsidRDefault="00171442" w:rsidP="00171442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Завідувачу </w:t>
      </w:r>
      <w:r>
        <w:rPr>
          <w:sz w:val="28"/>
          <w:lang w:val="uk-UA"/>
        </w:rPr>
        <w:t>ЛКТО</w:t>
      </w:r>
      <w:r>
        <w:rPr>
          <w:color w:val="000000"/>
          <w:sz w:val="28"/>
          <w:szCs w:val="28"/>
          <w:lang w:val="uk-UA"/>
        </w:rPr>
        <w:t xml:space="preserve">  Остапчук С.П. розмістити цей наказ на сайті Управління освіти.</w:t>
      </w:r>
    </w:p>
    <w:p w:rsidR="00171442" w:rsidRDefault="00171442" w:rsidP="0017144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До 24.04.2019</w:t>
      </w:r>
    </w:p>
    <w:p w:rsidR="00171442" w:rsidRDefault="00171442" w:rsidP="00171442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171442" w:rsidRDefault="00171442" w:rsidP="00171442">
      <w:pPr>
        <w:rPr>
          <w:sz w:val="28"/>
          <w:szCs w:val="28"/>
          <w:lang w:val="uk-UA"/>
        </w:rPr>
      </w:pPr>
    </w:p>
    <w:p w:rsidR="00171442" w:rsidRDefault="00171442" w:rsidP="00171442">
      <w:pPr>
        <w:rPr>
          <w:sz w:val="28"/>
          <w:szCs w:val="28"/>
          <w:lang w:val="uk-UA"/>
        </w:rPr>
      </w:pPr>
    </w:p>
    <w:p w:rsidR="00171442" w:rsidRDefault="00171442" w:rsidP="00171442">
      <w:pPr>
        <w:rPr>
          <w:sz w:val="28"/>
          <w:szCs w:val="28"/>
          <w:lang w:val="uk-UA"/>
        </w:rPr>
      </w:pPr>
    </w:p>
    <w:p w:rsidR="00171442" w:rsidRDefault="00171442" w:rsidP="00171442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О.С.НИЖНИК</w:t>
      </w:r>
    </w:p>
    <w:p w:rsidR="00171442" w:rsidRDefault="00171442" w:rsidP="0017144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71442" w:rsidRDefault="003A77EA" w:rsidP="0017144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171442">
        <w:rPr>
          <w:sz w:val="28"/>
          <w:szCs w:val="28"/>
          <w:lang w:val="uk-UA"/>
        </w:rPr>
        <w:t>ознайомлені:</w:t>
      </w:r>
    </w:p>
    <w:p w:rsidR="00171442" w:rsidRDefault="00171442" w:rsidP="00171442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71442" w:rsidTr="005B4FDF"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Прохоренко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Іголкіна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171442" w:rsidTr="005B4FDF"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Дерев’янко Т.Є.</w:t>
            </w:r>
          </w:p>
        </w:tc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Надточій О.І.</w:t>
            </w:r>
          </w:p>
        </w:tc>
      </w:tr>
      <w:tr w:rsidR="00171442" w:rsidTr="005B4FDF"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Кулакова Л.В.</w:t>
            </w:r>
          </w:p>
        </w:tc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Остапчук С.П.</w:t>
            </w:r>
          </w:p>
        </w:tc>
      </w:tr>
      <w:tr w:rsidR="00171442" w:rsidTr="005B4FDF"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Стецко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Торяник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171442" w:rsidTr="005B4FDF"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Барибіна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927" w:type="dxa"/>
            <w:hideMark/>
          </w:tcPr>
          <w:p w:rsidR="00171442" w:rsidRDefault="00171442" w:rsidP="003A77EA">
            <w:pPr>
              <w:spacing w:line="360" w:lineRule="auto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Лашина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171442" w:rsidRDefault="00171442" w:rsidP="00171442">
      <w:pPr>
        <w:rPr>
          <w:sz w:val="28"/>
          <w:szCs w:val="28"/>
          <w:lang w:val="uk-UA"/>
        </w:rPr>
      </w:pPr>
    </w:p>
    <w:p w:rsidR="00171442" w:rsidRDefault="00171442" w:rsidP="00171442">
      <w:pPr>
        <w:rPr>
          <w:sz w:val="28"/>
          <w:szCs w:val="28"/>
          <w:lang w:val="uk-UA"/>
        </w:rPr>
      </w:pPr>
    </w:p>
    <w:p w:rsidR="00171442" w:rsidRDefault="00171442" w:rsidP="00171442">
      <w:pPr>
        <w:rPr>
          <w:sz w:val="28"/>
          <w:szCs w:val="28"/>
          <w:lang w:val="uk-UA"/>
        </w:rPr>
      </w:pPr>
    </w:p>
    <w:p w:rsidR="00171442" w:rsidRDefault="00171442" w:rsidP="00171442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Прохоренко</w:t>
      </w:r>
      <w:proofErr w:type="spellEnd"/>
      <w:r>
        <w:rPr>
          <w:sz w:val="20"/>
          <w:szCs w:val="20"/>
          <w:lang w:val="uk-UA"/>
        </w:rPr>
        <w:t xml:space="preserve"> 725 27 91</w:t>
      </w:r>
    </w:p>
    <w:sectPr w:rsidR="00171442" w:rsidSect="00106E14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EE" w:rsidRDefault="006846EE" w:rsidP="006A71AA">
      <w:r>
        <w:separator/>
      </w:r>
    </w:p>
  </w:endnote>
  <w:endnote w:type="continuationSeparator" w:id="0">
    <w:p w:rsidR="006846EE" w:rsidRDefault="006846E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EE" w:rsidRDefault="006846EE" w:rsidP="006A71AA">
      <w:r>
        <w:separator/>
      </w:r>
    </w:p>
  </w:footnote>
  <w:footnote w:type="continuationSeparator" w:id="0">
    <w:p w:rsidR="006846EE" w:rsidRDefault="006846E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E46A9D" w:rsidP="00E615FB">
    <w:pPr>
      <w:pStyle w:val="a6"/>
      <w:jc w:val="center"/>
    </w:pPr>
    <w:fldSimple w:instr=" PAGE   \* MERGEFORMAT ">
      <w:r w:rsidR="009F0D6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251F20"/>
    <w:multiLevelType w:val="multilevel"/>
    <w:tmpl w:val="E7C03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7"/>
  </w:num>
  <w:num w:numId="5">
    <w:abstractNumId w:val="2"/>
  </w:num>
  <w:num w:numId="6">
    <w:abstractNumId w:val="18"/>
  </w:num>
  <w:num w:numId="7">
    <w:abstractNumId w:val="16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5"/>
  </w:num>
  <w:num w:numId="14">
    <w:abstractNumId w:val="20"/>
  </w:num>
  <w:num w:numId="15">
    <w:abstractNumId w:val="9"/>
  </w:num>
  <w:num w:numId="16">
    <w:abstractNumId w:val="14"/>
  </w:num>
  <w:num w:numId="17">
    <w:abstractNumId w:val="8"/>
  </w:num>
  <w:num w:numId="18">
    <w:abstractNumId w:val="13"/>
  </w:num>
  <w:num w:numId="19">
    <w:abstractNumId w:val="7"/>
  </w:num>
  <w:num w:numId="20">
    <w:abstractNumId w:val="21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65A1B"/>
    <w:rsid w:val="00070608"/>
    <w:rsid w:val="0007560A"/>
    <w:rsid w:val="00085638"/>
    <w:rsid w:val="000A7E55"/>
    <w:rsid w:val="000A7FE8"/>
    <w:rsid w:val="00106E14"/>
    <w:rsid w:val="00133AAD"/>
    <w:rsid w:val="00143709"/>
    <w:rsid w:val="00153D80"/>
    <w:rsid w:val="001552C4"/>
    <w:rsid w:val="0016252F"/>
    <w:rsid w:val="00171054"/>
    <w:rsid w:val="00171442"/>
    <w:rsid w:val="00176C30"/>
    <w:rsid w:val="001801C9"/>
    <w:rsid w:val="001856DD"/>
    <w:rsid w:val="00190654"/>
    <w:rsid w:val="001928C0"/>
    <w:rsid w:val="001A0119"/>
    <w:rsid w:val="001A210F"/>
    <w:rsid w:val="001B395F"/>
    <w:rsid w:val="001B3EA8"/>
    <w:rsid w:val="001E7DB3"/>
    <w:rsid w:val="001F44BE"/>
    <w:rsid w:val="0021084A"/>
    <w:rsid w:val="0023616B"/>
    <w:rsid w:val="00246DB3"/>
    <w:rsid w:val="00247DBB"/>
    <w:rsid w:val="00250671"/>
    <w:rsid w:val="002555E3"/>
    <w:rsid w:val="00274CAD"/>
    <w:rsid w:val="00287FF6"/>
    <w:rsid w:val="00292228"/>
    <w:rsid w:val="00293EEB"/>
    <w:rsid w:val="002A326E"/>
    <w:rsid w:val="002A3C91"/>
    <w:rsid w:val="002B0EAE"/>
    <w:rsid w:val="002B7EB0"/>
    <w:rsid w:val="002F7173"/>
    <w:rsid w:val="003276E6"/>
    <w:rsid w:val="00340E1B"/>
    <w:rsid w:val="00351CB7"/>
    <w:rsid w:val="003905A4"/>
    <w:rsid w:val="00395DC2"/>
    <w:rsid w:val="003A77EA"/>
    <w:rsid w:val="003B6F68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1BD4"/>
    <w:rsid w:val="004C2AB6"/>
    <w:rsid w:val="004D1CCC"/>
    <w:rsid w:val="004F040C"/>
    <w:rsid w:val="00513FD3"/>
    <w:rsid w:val="00525694"/>
    <w:rsid w:val="005430D8"/>
    <w:rsid w:val="00547748"/>
    <w:rsid w:val="00551834"/>
    <w:rsid w:val="00577A8E"/>
    <w:rsid w:val="0058716F"/>
    <w:rsid w:val="005A3836"/>
    <w:rsid w:val="005C5329"/>
    <w:rsid w:val="005D4568"/>
    <w:rsid w:val="006136C1"/>
    <w:rsid w:val="0062341B"/>
    <w:rsid w:val="0062679E"/>
    <w:rsid w:val="00631E0A"/>
    <w:rsid w:val="00642A3A"/>
    <w:rsid w:val="00650267"/>
    <w:rsid w:val="00652D38"/>
    <w:rsid w:val="00653598"/>
    <w:rsid w:val="0066212C"/>
    <w:rsid w:val="00666B35"/>
    <w:rsid w:val="0067012C"/>
    <w:rsid w:val="00683C53"/>
    <w:rsid w:val="00684461"/>
    <w:rsid w:val="006846EE"/>
    <w:rsid w:val="006A71AA"/>
    <w:rsid w:val="006A71E0"/>
    <w:rsid w:val="006C328A"/>
    <w:rsid w:val="006F3A2E"/>
    <w:rsid w:val="006F4DE5"/>
    <w:rsid w:val="00705B99"/>
    <w:rsid w:val="007256A2"/>
    <w:rsid w:val="00754B36"/>
    <w:rsid w:val="00757057"/>
    <w:rsid w:val="00770112"/>
    <w:rsid w:val="007A4DBD"/>
    <w:rsid w:val="007A66A9"/>
    <w:rsid w:val="007B33CB"/>
    <w:rsid w:val="007B5AC8"/>
    <w:rsid w:val="007C697D"/>
    <w:rsid w:val="007D38B7"/>
    <w:rsid w:val="007E1F6F"/>
    <w:rsid w:val="007E4DD8"/>
    <w:rsid w:val="007F0708"/>
    <w:rsid w:val="008026EB"/>
    <w:rsid w:val="008046D8"/>
    <w:rsid w:val="00805A2D"/>
    <w:rsid w:val="00811742"/>
    <w:rsid w:val="00844124"/>
    <w:rsid w:val="008459B6"/>
    <w:rsid w:val="00850156"/>
    <w:rsid w:val="008736BF"/>
    <w:rsid w:val="008866C1"/>
    <w:rsid w:val="008A2FBC"/>
    <w:rsid w:val="008A61C5"/>
    <w:rsid w:val="008B41BF"/>
    <w:rsid w:val="008B744C"/>
    <w:rsid w:val="008B752C"/>
    <w:rsid w:val="008D0B9B"/>
    <w:rsid w:val="008E1853"/>
    <w:rsid w:val="008E51A9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6594C"/>
    <w:rsid w:val="00967DC3"/>
    <w:rsid w:val="0098226E"/>
    <w:rsid w:val="00985F43"/>
    <w:rsid w:val="009A4807"/>
    <w:rsid w:val="009B232F"/>
    <w:rsid w:val="009B3BF0"/>
    <w:rsid w:val="009F0D66"/>
    <w:rsid w:val="00A53539"/>
    <w:rsid w:val="00A653EC"/>
    <w:rsid w:val="00A6749F"/>
    <w:rsid w:val="00A8581E"/>
    <w:rsid w:val="00A86E84"/>
    <w:rsid w:val="00AA6DD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C3BEB"/>
    <w:rsid w:val="00BD5E2A"/>
    <w:rsid w:val="00BE31AC"/>
    <w:rsid w:val="00BF2726"/>
    <w:rsid w:val="00C019B4"/>
    <w:rsid w:val="00C03A02"/>
    <w:rsid w:val="00C06A68"/>
    <w:rsid w:val="00C11931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055"/>
    <w:rsid w:val="00D14843"/>
    <w:rsid w:val="00D21BC8"/>
    <w:rsid w:val="00D57E24"/>
    <w:rsid w:val="00D62F04"/>
    <w:rsid w:val="00D73177"/>
    <w:rsid w:val="00DB1EFF"/>
    <w:rsid w:val="00DB34B0"/>
    <w:rsid w:val="00DC458F"/>
    <w:rsid w:val="00DD4566"/>
    <w:rsid w:val="00DD4669"/>
    <w:rsid w:val="00DF5B51"/>
    <w:rsid w:val="00E1359B"/>
    <w:rsid w:val="00E415A4"/>
    <w:rsid w:val="00E469AC"/>
    <w:rsid w:val="00E46A9D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0F94"/>
    <w:rsid w:val="00F24123"/>
    <w:rsid w:val="00F2675A"/>
    <w:rsid w:val="00F30172"/>
    <w:rsid w:val="00F33014"/>
    <w:rsid w:val="00F43EA3"/>
    <w:rsid w:val="00F83763"/>
    <w:rsid w:val="00F844C1"/>
    <w:rsid w:val="00F90B92"/>
    <w:rsid w:val="00FA1D49"/>
    <w:rsid w:val="00FA4BC7"/>
    <w:rsid w:val="00FB289E"/>
    <w:rsid w:val="00FB6182"/>
    <w:rsid w:val="00FC5A83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2019-04-16T12:35:00Z</cp:lastPrinted>
  <dcterms:created xsi:type="dcterms:W3CDTF">2019-04-25T07:31:00Z</dcterms:created>
  <dcterms:modified xsi:type="dcterms:W3CDTF">2019-04-25T07:31:00Z</dcterms:modified>
</cp:coreProperties>
</file>