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1A" w:rsidRPr="00AB6705" w:rsidRDefault="007A1D5C" w:rsidP="00AB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0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1D5C" w:rsidRDefault="00AB6705" w:rsidP="00AB67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B6705">
        <w:rPr>
          <w:rFonts w:ascii="Times New Roman" w:hAnsi="Times New Roman" w:cs="Times New Roman"/>
          <w:b/>
          <w:sz w:val="28"/>
          <w:szCs w:val="28"/>
        </w:rPr>
        <w:t>р</w:t>
      </w:r>
      <w:r w:rsidR="007A1D5C" w:rsidRPr="00AB6705">
        <w:rPr>
          <w:rFonts w:ascii="Times New Roman" w:hAnsi="Times New Roman" w:cs="Times New Roman"/>
          <w:b/>
          <w:sz w:val="28"/>
          <w:szCs w:val="28"/>
        </w:rPr>
        <w:t>оботи</w:t>
      </w:r>
      <w:proofErr w:type="spellEnd"/>
      <w:r w:rsidR="007A1D5C" w:rsidRPr="00AB6705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 w:rsidR="007A1D5C" w:rsidRPr="00AB6705">
        <w:rPr>
          <w:rFonts w:ascii="Times New Roman" w:hAnsi="Times New Roman" w:cs="Times New Roman"/>
          <w:b/>
          <w:sz w:val="28"/>
          <w:szCs w:val="28"/>
          <w:lang w:val="uk-UA"/>
        </w:rPr>
        <w:t>єдиною методичною темою «</w:t>
      </w:r>
      <w:proofErr w:type="gramStart"/>
      <w:r w:rsidR="007A1D5C" w:rsidRPr="00AB670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7A1D5C" w:rsidRPr="00AB6705">
        <w:rPr>
          <w:rFonts w:ascii="Times New Roman" w:hAnsi="Times New Roman" w:cs="Times New Roman"/>
          <w:b/>
          <w:sz w:val="28"/>
          <w:szCs w:val="28"/>
          <w:lang w:val="uk-UA"/>
        </w:rPr>
        <w:t>ідвищення професійного рівня педагогічних працівників району шляхом спрямування системи методичної роботи на постійне вдосконалення фахової майстерності кожного вчителя відповідно до Концептуальних засад Нової української школи</w:t>
      </w:r>
      <w:r w:rsidR="00DB303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A1D5C" w:rsidRPr="00AB6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2019-2023 </w:t>
      </w:r>
      <w:proofErr w:type="spellStart"/>
      <w:r w:rsidR="007A1D5C" w:rsidRPr="00AB6705"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 w:rsidR="007A1D5C" w:rsidRPr="00AB67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21CA7" w:rsidRDefault="00321CA7" w:rsidP="00AB67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533"/>
        <w:gridCol w:w="7836"/>
        <w:gridCol w:w="2679"/>
        <w:gridCol w:w="2387"/>
        <w:gridCol w:w="1459"/>
      </w:tblGrid>
      <w:tr w:rsidR="00321CA7" w:rsidTr="00321CA7">
        <w:tc>
          <w:tcPr>
            <w:tcW w:w="534" w:type="dxa"/>
          </w:tcPr>
          <w:p w:rsid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938" w:type="dxa"/>
          </w:tcPr>
          <w:p w:rsid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693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410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319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21CA7" w:rsidTr="00321CA7">
        <w:tc>
          <w:tcPr>
            <w:tcW w:w="534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</w:tcPr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ґрунтовного аналізу діяльності методичного центру району, районних методичних осередків; стану вивчення та узагальнення ЕПД; результативності участі учнів в інтелектуальних, спортивних, виховного спрямування змагань; результативності досягнень учнів при складанні ЗНО.</w:t>
            </w:r>
          </w:p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Надточій О.І.</w:t>
            </w:r>
          </w:p>
        </w:tc>
        <w:tc>
          <w:tcPr>
            <w:tcW w:w="2410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319" w:type="dxa"/>
          </w:tcPr>
          <w:p w:rsid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21CA7" w:rsidRPr="00000769" w:rsidTr="00321CA7">
        <w:tc>
          <w:tcPr>
            <w:tcW w:w="534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</w:tcPr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роботи з підвищення фахової майстерності вчителя, планування проходження педагогічними працівниками навчання на курсах підвищення кваліфікації.</w:t>
            </w:r>
          </w:p>
        </w:tc>
        <w:tc>
          <w:tcPr>
            <w:tcW w:w="2693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Стецко</w:t>
            </w:r>
            <w:proofErr w:type="spellEnd"/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319" w:type="dxa"/>
          </w:tcPr>
          <w:p w:rsidR="00321CA7" w:rsidRPr="00000769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21CA7" w:rsidRPr="00000769" w:rsidTr="00321CA7">
        <w:tc>
          <w:tcPr>
            <w:tcW w:w="534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</w:tcPr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участі педагогів у районних, міських, обласних тематичних семінарах (з дотриманням диференційованого підходу відповідно до рівня фахової майстерності кожного).</w:t>
            </w:r>
          </w:p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Надточій О.І.</w:t>
            </w:r>
          </w:p>
        </w:tc>
        <w:tc>
          <w:tcPr>
            <w:tcW w:w="2410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319" w:type="dxa"/>
          </w:tcPr>
          <w:p w:rsidR="00321CA7" w:rsidRPr="00000769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21CA7" w:rsidRPr="00321CA7" w:rsidTr="00321CA7">
        <w:tc>
          <w:tcPr>
            <w:tcW w:w="534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</w:tcPr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педагогів до проведення практичних семінарів з теми, над якою він працює.</w:t>
            </w:r>
          </w:p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21CA7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Надточій О.І.</w:t>
            </w:r>
          </w:p>
          <w:p w:rsidR="00000769" w:rsidRPr="00321CA7" w:rsidRDefault="00000769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Толоконнікова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10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319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A7" w:rsidRPr="00321CA7" w:rsidTr="00321CA7">
        <w:tc>
          <w:tcPr>
            <w:tcW w:w="534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</w:tcPr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педагогічних працівників різних категорій щорічне проведення семінарів за тематикою:</w:t>
            </w:r>
          </w:p>
          <w:p w:rsidR="00321CA7" w:rsidRDefault="00321CA7" w:rsidP="00321CA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українська школа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очікуванні компетентного працюючого педагога</w:t>
            </w:r>
          </w:p>
          <w:p w:rsidR="00321CA7" w:rsidRDefault="00321CA7" w:rsidP="00321CA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Співробітництво школи з вищими навчальними закладами – це створення команди педагогів – інтелектуалів, спроможних забезпечити розвиток творчої особистості учня</w:t>
            </w:r>
          </w:p>
          <w:p w:rsidR="00321CA7" w:rsidRPr="007403FC" w:rsidRDefault="00321CA7" w:rsidP="00321CA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педагогічного працівника – </w:t>
            </w:r>
            <w:r w:rsidRPr="0074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фахового зростання</w:t>
            </w:r>
          </w:p>
          <w:p w:rsidR="00321CA7" w:rsidRDefault="00321CA7" w:rsidP="00321CA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професійних педагогічних конкурсах – надійний шлях до професійного зростання</w:t>
            </w:r>
          </w:p>
          <w:p w:rsidR="00321CA7" w:rsidRDefault="00321CA7" w:rsidP="00321CA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Готуємося до конкурсів педагогічної майстерності за перспективним графіком Міністерства освіти і науки України уже сьогодні </w:t>
            </w:r>
          </w:p>
          <w:p w:rsidR="00321CA7" w:rsidRDefault="00321CA7" w:rsidP="00321CA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школярів в інтелектуальних, спортивних, виховного спрямування змагань – надійний шлях до розвитку творчих здібностей особистості.</w:t>
            </w:r>
          </w:p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CA7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Толоконнікова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Надточій О.І.</w:t>
            </w: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Толоконнікова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Подзолков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Надточій О.І.</w:t>
            </w: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Надточій О.І.</w:t>
            </w: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Толоконнікова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Толоконнікова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  <w:p w:rsidR="00000769" w:rsidRPr="00000769" w:rsidRDefault="00000769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Подзолков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2410" w:type="dxa"/>
          </w:tcPr>
          <w:p w:rsid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769" w:rsidRPr="00000769" w:rsidRDefault="00000769" w:rsidP="00000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319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CA7" w:rsidRPr="00321CA7" w:rsidTr="00321CA7">
        <w:tc>
          <w:tcPr>
            <w:tcW w:w="534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7938" w:type="dxa"/>
          </w:tcPr>
          <w:p w:rsidR="00321CA7" w:rsidRPr="004A72A8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максимальне забезпечення педагогічного загалу району періодичними фаховими виданнями інформаційно-методичного спрямування.</w:t>
            </w:r>
          </w:p>
          <w:p w:rsidR="00321CA7" w:rsidRDefault="00321CA7" w:rsidP="00321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21CA7" w:rsidRPr="00000769" w:rsidRDefault="00000769" w:rsidP="00AB6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Дороднова</w:t>
            </w:r>
            <w:proofErr w:type="spellEnd"/>
            <w:r w:rsidRPr="00000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2410" w:type="dxa"/>
          </w:tcPr>
          <w:p w:rsidR="00321CA7" w:rsidRPr="00321CA7" w:rsidRDefault="00000769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319" w:type="dxa"/>
          </w:tcPr>
          <w:p w:rsidR="00321CA7" w:rsidRPr="00321CA7" w:rsidRDefault="00321CA7" w:rsidP="00AB6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1CA7" w:rsidRPr="00321CA7" w:rsidRDefault="00321CA7" w:rsidP="00AB67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CA" w:rsidRDefault="006967CA" w:rsidP="00AB67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03E" w:rsidRDefault="00DB303E" w:rsidP="00AA5E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1CA7" w:rsidRDefault="00321CA7" w:rsidP="00AA5E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1CA7" w:rsidRDefault="00321CA7" w:rsidP="00AA5E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1CA7" w:rsidRDefault="00321CA7" w:rsidP="00AA5E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1CA7" w:rsidRDefault="00321CA7" w:rsidP="00AA5E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1CA7" w:rsidRDefault="00321CA7" w:rsidP="00AA5E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6705" w:rsidRDefault="00AB6705" w:rsidP="00AA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E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Перспективний графік проведення Всеукраїнського конкурсу  «Учитель року»</w:t>
      </w:r>
    </w:p>
    <w:p w:rsidR="00AA5E6C" w:rsidRPr="00AA5E6C" w:rsidRDefault="00AA5E6C" w:rsidP="00AA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260"/>
        <w:gridCol w:w="2835"/>
        <w:gridCol w:w="3119"/>
        <w:gridCol w:w="3118"/>
      </w:tblGrid>
      <w:tr w:rsidR="00AA5E6C" w:rsidTr="00AA5E6C">
        <w:trPr>
          <w:trHeight w:val="642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spacing w:before="160"/>
              <w:ind w:left="531" w:right="522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spacing w:before="160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spacing w:before="160"/>
              <w:ind w:left="103" w:right="89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spacing w:before="160"/>
              <w:ind w:left="104" w:right="8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spacing w:before="160"/>
              <w:ind w:left="108" w:right="8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AA5E6C" w:rsidTr="00AA5E6C">
        <w:trPr>
          <w:trHeight w:val="568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spacing w:before="124"/>
              <w:ind w:left="111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Початкова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освіта</w:t>
            </w:r>
            <w:proofErr w:type="spellEnd"/>
          </w:p>
        </w:tc>
      </w:tr>
      <w:tr w:rsidR="00AA5E6C" w:rsidTr="00AA5E6C">
        <w:trPr>
          <w:trHeight w:val="642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spacing w:before="160"/>
              <w:ind w:left="532" w:right="5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Географія</w:t>
            </w:r>
            <w:proofErr w:type="spellEnd"/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AA5E6C" w:rsidTr="00AA5E6C">
        <w:trPr>
          <w:trHeight w:val="568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spacing w:before="124"/>
              <w:ind w:left="104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Історія</w:t>
            </w:r>
            <w:proofErr w:type="spellEnd"/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AA5E6C" w:rsidTr="00AA5E6C">
        <w:trPr>
          <w:trHeight w:val="642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spacing w:before="4" w:line="322" w:lineRule="exact"/>
              <w:ind w:left="299" w:right="262" w:firstLine="403"/>
              <w:rPr>
                <w:sz w:val="28"/>
              </w:rPr>
            </w:pPr>
            <w:proofErr w:type="spellStart"/>
            <w:r>
              <w:rPr>
                <w:sz w:val="28"/>
              </w:rPr>
              <w:t>Основи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правознавства</w:t>
            </w:r>
            <w:proofErr w:type="spellEnd"/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AA5E6C" w:rsidTr="00AA5E6C">
        <w:trPr>
          <w:trHeight w:val="563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spacing w:before="117"/>
              <w:ind w:left="10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Англійська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AA5E6C" w:rsidTr="00AA5E6C">
        <w:trPr>
          <w:trHeight w:val="964"/>
        </w:trPr>
        <w:tc>
          <w:tcPr>
            <w:tcW w:w="2552" w:type="dxa"/>
          </w:tcPr>
          <w:p w:rsidR="004A72A8" w:rsidRDefault="004A72A8" w:rsidP="00C22A20">
            <w:pPr>
              <w:pStyle w:val="TableParagraph"/>
              <w:ind w:right="2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Вчитель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інклюзивного</w:t>
            </w:r>
            <w:proofErr w:type="spellEnd"/>
          </w:p>
          <w:p w:rsidR="004A72A8" w:rsidRDefault="004A72A8" w:rsidP="00C22A20">
            <w:pPr>
              <w:pStyle w:val="TableParagraph"/>
              <w:spacing w:line="300" w:lineRule="exact"/>
              <w:ind w:right="5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класу</w:t>
            </w:r>
            <w:proofErr w:type="spellEnd"/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spacing w:before="11"/>
              <w:rPr>
                <w:sz w:val="27"/>
              </w:rPr>
            </w:pPr>
          </w:p>
          <w:p w:rsidR="004A72A8" w:rsidRDefault="004A72A8" w:rsidP="009F06D8">
            <w:pPr>
              <w:pStyle w:val="TableParagraph"/>
              <w:ind w:left="110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Німецька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</w:tr>
      <w:tr w:rsidR="00AA5E6C" w:rsidTr="00AA5E6C">
        <w:trPr>
          <w:trHeight w:val="569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spacing w:before="123"/>
              <w:ind w:left="104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Початкова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освіта</w:t>
            </w:r>
            <w:proofErr w:type="spellEnd"/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AA5E6C" w:rsidTr="00AA5E6C">
        <w:trPr>
          <w:trHeight w:val="566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spacing w:before="122"/>
              <w:ind w:left="104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Біологія</w:t>
            </w:r>
            <w:proofErr w:type="spellEnd"/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AA5E6C" w:rsidTr="00AA5E6C">
        <w:trPr>
          <w:trHeight w:val="645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spacing w:before="3" w:line="322" w:lineRule="exact"/>
              <w:ind w:left="529" w:right="288" w:hanging="209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Образотворче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мистецтво</w:t>
            </w:r>
            <w:proofErr w:type="spellEnd"/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AA5E6C" w:rsidTr="00AA5E6C">
        <w:trPr>
          <w:trHeight w:val="98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spacing w:before="2" w:line="322" w:lineRule="exact"/>
              <w:ind w:left="602" w:right="566" w:firstLine="52"/>
              <w:rPr>
                <w:sz w:val="28"/>
              </w:rPr>
            </w:pPr>
            <w:proofErr w:type="spellStart"/>
            <w:r>
              <w:rPr>
                <w:sz w:val="28"/>
              </w:rPr>
              <w:t>Трудове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</w:tbl>
    <w:p w:rsidR="004A72A8" w:rsidRPr="004A72A8" w:rsidRDefault="004A72A8" w:rsidP="004A72A8">
      <w:pPr>
        <w:rPr>
          <w:lang w:val="uk-UA"/>
        </w:rPr>
      </w:pP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260"/>
        <w:gridCol w:w="2835"/>
        <w:gridCol w:w="3119"/>
        <w:gridCol w:w="3118"/>
      </w:tblGrid>
      <w:tr w:rsidR="004A72A8" w:rsidTr="00AA5E6C">
        <w:trPr>
          <w:trHeight w:val="645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spacing w:before="163"/>
              <w:ind w:left="531" w:right="52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2019</w:t>
            </w: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spacing w:before="163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spacing w:before="163"/>
              <w:ind w:left="103" w:right="89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spacing w:before="163"/>
              <w:ind w:left="104" w:right="8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spacing w:before="163"/>
              <w:ind w:left="108" w:right="8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4A72A8" w:rsidTr="00AA5E6C">
        <w:trPr>
          <w:trHeight w:val="566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spacing w:before="122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Французька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568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spacing w:before="124"/>
              <w:ind w:left="151"/>
              <w:rPr>
                <w:sz w:val="28"/>
              </w:rPr>
            </w:pPr>
            <w:proofErr w:type="spellStart"/>
            <w:r>
              <w:rPr>
                <w:sz w:val="28"/>
              </w:rPr>
              <w:t>Основи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здоров’я</w:t>
            </w:r>
            <w:proofErr w:type="spellEnd"/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642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spacing w:before="4" w:line="322" w:lineRule="exact"/>
              <w:ind w:left="521" w:right="491" w:firstLine="9"/>
              <w:rPr>
                <w:sz w:val="28"/>
              </w:rPr>
            </w:pPr>
            <w:proofErr w:type="spellStart"/>
            <w:r>
              <w:rPr>
                <w:sz w:val="28"/>
              </w:rPr>
              <w:t>Зарубіжна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література</w:t>
            </w:r>
            <w:proofErr w:type="spellEnd"/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563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spacing w:before="120"/>
              <w:ind w:left="170"/>
              <w:rPr>
                <w:sz w:val="28"/>
              </w:rPr>
            </w:pPr>
            <w:proofErr w:type="spellStart"/>
            <w:r>
              <w:rPr>
                <w:sz w:val="28"/>
              </w:rPr>
              <w:t>Захист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Вітчизни</w:t>
            </w:r>
            <w:proofErr w:type="spellEnd"/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566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spacing w:before="122"/>
              <w:ind w:left="104" w:right="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568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spacing w:before="122"/>
              <w:ind w:left="104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Інформатика</w:t>
            </w:r>
            <w:proofErr w:type="spellEnd"/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642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spacing w:before="4" w:line="322" w:lineRule="exact"/>
              <w:ind w:left="531" w:right="494" w:firstLine="88"/>
              <w:rPr>
                <w:sz w:val="28"/>
              </w:rPr>
            </w:pPr>
            <w:proofErr w:type="spellStart"/>
            <w:r>
              <w:rPr>
                <w:sz w:val="28"/>
              </w:rPr>
              <w:t>Музичне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мистецтво</w:t>
            </w:r>
            <w:proofErr w:type="spellEnd"/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640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spacing w:line="317" w:lineRule="exact"/>
              <w:ind w:left="668"/>
              <w:rPr>
                <w:sz w:val="28"/>
              </w:rPr>
            </w:pPr>
            <w:proofErr w:type="spellStart"/>
            <w:r>
              <w:rPr>
                <w:sz w:val="28"/>
              </w:rPr>
              <w:t>Фізична</w:t>
            </w:r>
            <w:proofErr w:type="spellEnd"/>
          </w:p>
          <w:p w:rsidR="004A72A8" w:rsidRDefault="004A72A8" w:rsidP="009F06D8">
            <w:pPr>
              <w:pStyle w:val="TableParagraph"/>
              <w:spacing w:line="304" w:lineRule="exact"/>
              <w:ind w:left="622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культура</w:t>
            </w:r>
            <w:proofErr w:type="spellEnd"/>
          </w:p>
        </w:tc>
      </w:tr>
      <w:tr w:rsidR="004A72A8" w:rsidTr="00AA5E6C">
        <w:trPr>
          <w:trHeight w:val="565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spacing w:before="122"/>
              <w:ind w:left="104" w:right="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Українська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566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spacing w:before="122"/>
              <w:ind w:left="101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Хімія</w:t>
            </w:r>
            <w:proofErr w:type="spellEnd"/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</w:tr>
      <w:tr w:rsidR="004A72A8" w:rsidTr="00AA5E6C">
        <w:trPr>
          <w:trHeight w:val="568"/>
        </w:trPr>
        <w:tc>
          <w:tcPr>
            <w:tcW w:w="2552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A72A8" w:rsidRDefault="004A72A8" w:rsidP="009F06D8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4A72A8" w:rsidRDefault="004A72A8" w:rsidP="009F06D8">
            <w:pPr>
              <w:pStyle w:val="TableParagraph"/>
              <w:spacing w:before="124"/>
              <w:ind w:left="111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Фізика</w:t>
            </w:r>
            <w:proofErr w:type="spellEnd"/>
          </w:p>
        </w:tc>
      </w:tr>
    </w:tbl>
    <w:p w:rsidR="004A72A8" w:rsidRPr="004A72A8" w:rsidRDefault="004A72A8" w:rsidP="004A72A8">
      <w:pPr>
        <w:pStyle w:val="a4"/>
        <w:spacing w:before="3"/>
        <w:ind w:left="720"/>
        <w:rPr>
          <w:sz w:val="20"/>
        </w:rPr>
      </w:pPr>
    </w:p>
    <w:sectPr w:rsidR="004A72A8" w:rsidRPr="004A72A8" w:rsidSect="00AA5E6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47"/>
    <w:multiLevelType w:val="hybridMultilevel"/>
    <w:tmpl w:val="BA4EB2F2"/>
    <w:lvl w:ilvl="0" w:tplc="C65E8D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3036D"/>
    <w:multiLevelType w:val="hybridMultilevel"/>
    <w:tmpl w:val="4BA69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568E"/>
    <w:multiLevelType w:val="hybridMultilevel"/>
    <w:tmpl w:val="6E76432E"/>
    <w:lvl w:ilvl="0" w:tplc="C65E8D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045DBD"/>
    <w:multiLevelType w:val="hybridMultilevel"/>
    <w:tmpl w:val="E160B484"/>
    <w:lvl w:ilvl="0" w:tplc="0419000D">
      <w:start w:val="1"/>
      <w:numFmt w:val="bullet"/>
      <w:lvlText w:val=""/>
      <w:lvlJc w:val="left"/>
      <w:pPr>
        <w:ind w:left="7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D5C"/>
    <w:rsid w:val="00000769"/>
    <w:rsid w:val="00165AE6"/>
    <w:rsid w:val="001C2095"/>
    <w:rsid w:val="002C1F31"/>
    <w:rsid w:val="00321CA7"/>
    <w:rsid w:val="003D02F7"/>
    <w:rsid w:val="004A72A8"/>
    <w:rsid w:val="00565AF1"/>
    <w:rsid w:val="006967CA"/>
    <w:rsid w:val="007403FC"/>
    <w:rsid w:val="007A1D5C"/>
    <w:rsid w:val="00AA5E6C"/>
    <w:rsid w:val="00AB6705"/>
    <w:rsid w:val="00AC4E61"/>
    <w:rsid w:val="00B1130B"/>
    <w:rsid w:val="00C22A20"/>
    <w:rsid w:val="00D30017"/>
    <w:rsid w:val="00D7600A"/>
    <w:rsid w:val="00DB303E"/>
    <w:rsid w:val="00F6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A7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4A7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72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696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B791-D59B-458E-AE02-775E4F44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cp:lastPrinted>2019-02-20T12:56:00Z</cp:lastPrinted>
  <dcterms:created xsi:type="dcterms:W3CDTF">2019-03-15T14:44:00Z</dcterms:created>
  <dcterms:modified xsi:type="dcterms:W3CDTF">2019-03-15T14:44:00Z</dcterms:modified>
</cp:coreProperties>
</file>