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383"/>
      </w:tblGrid>
      <w:tr w:rsidR="003A6741" w:rsidRPr="004C103B" w:rsidTr="00461143">
        <w:tc>
          <w:tcPr>
            <w:tcW w:w="1135" w:type="dxa"/>
            <w:tcBorders>
              <w:bottom w:val="thickThinSmallGap" w:sz="24" w:space="0" w:color="auto"/>
            </w:tcBorders>
          </w:tcPr>
          <w:p w:rsidR="003A6741" w:rsidRPr="004C103B" w:rsidRDefault="003A6741" w:rsidP="0046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4712693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3A6741" w:rsidRPr="004C103B" w:rsidTr="00461143">
              <w:tc>
                <w:tcPr>
                  <w:tcW w:w="8080" w:type="dxa"/>
                </w:tcPr>
                <w:p w:rsidR="003A6741" w:rsidRPr="004C103B" w:rsidRDefault="003A6741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10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3A6741" w:rsidRPr="004C103B" w:rsidRDefault="003A6741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10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3A6741" w:rsidRPr="004C103B" w:rsidRDefault="003A6741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6741" w:rsidRPr="004C103B" w:rsidRDefault="003A6741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03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3A6741" w:rsidRPr="004C103B" w:rsidRDefault="003A6741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6741" w:rsidRPr="004C103B" w:rsidRDefault="003A6741" w:rsidP="004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3" w:type="dxa"/>
            <w:tcBorders>
              <w:bottom w:val="thickThinSmallGap" w:sz="24" w:space="0" w:color="auto"/>
            </w:tcBorders>
          </w:tcPr>
          <w:p w:rsidR="003A6741" w:rsidRPr="004C103B" w:rsidRDefault="003A6741" w:rsidP="004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10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06AFD31" wp14:editId="138011E0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741" w:rsidRPr="004C103B" w:rsidRDefault="003A6741" w:rsidP="003A6741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6741" w:rsidRPr="004C103B" w:rsidRDefault="003A6741" w:rsidP="003A6741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3A6741" w:rsidRPr="00FF1884" w:rsidRDefault="003A6741" w:rsidP="003A67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214</w:t>
      </w: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</w:t>
      </w:r>
    </w:p>
    <w:p w:rsidR="003A6741" w:rsidRPr="004C103B" w:rsidRDefault="003A6741" w:rsidP="003A674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6741" w:rsidRPr="004C103B" w:rsidRDefault="003A6741" w:rsidP="003A674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підсумки проведення</w:t>
      </w:r>
      <w:r w:rsidRPr="004C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І (районн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741" w:rsidRPr="004C103B" w:rsidRDefault="003A6741" w:rsidP="003A674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ХІІІ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</w:t>
      </w:r>
      <w:r w:rsidR="0040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турніри юних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винахідників і раціоналізаторів                                                                                      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</w:t>
      </w:r>
    </w:p>
    <w:p w:rsidR="003A6741" w:rsidRPr="004C103B" w:rsidRDefault="003A6741" w:rsidP="003A674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 середньої освіти</w:t>
      </w: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FB7" w:rsidRPr="00406FB7" w:rsidRDefault="003A6741" w:rsidP="00406F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наказом Управління освіти адміністрації Основ’янського  району Харківської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</w:t>
      </w:r>
      <w:r w:rsidRPr="004C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(районного) етапу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ХІІІ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</w:t>
      </w:r>
      <w:r w:rsidR="0040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винахідників і раціоналізаторів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з метою подальшого вдосконалення системи роботи з обдарованими учнями, підвищення інтересу учнів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техніки та прикладної фізики, виявлення школярів, які мають нахили до винахідницької діяльності,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творчих здібностей учнівської молоді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02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2019 року на базі Харківської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загальноосвітньої школи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був проведений І (районний) етап  </w:t>
      </w:r>
      <w:r w:rsidR="0040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ХІІІ</w:t>
      </w:r>
      <w:r w:rsidR="00406FB7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</w:t>
      </w:r>
      <w:r w:rsidR="0040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турніри юних</w:t>
      </w:r>
      <w:r w:rsidR="00406FB7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винахідників і раціоналізаторів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(далі – Турнір)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6FB7"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турнірі брали участь 10 шкіл району  (ХЗОШ №№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B7"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7, 10, 35, 41, 48, 53, 120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6FB7"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ХГ №№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B7"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12, 34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6FB7"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ХСШ №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B7"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66) та 50 учнів.</w:t>
      </w:r>
    </w:p>
    <w:p w:rsidR="003A6741" w:rsidRPr="004C103B" w:rsidRDefault="003A6741" w:rsidP="003A67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Кращими визначені команди ЗЗСО №№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34, 35, 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, 66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рішенням журі були визначені переможці Турніру. </w:t>
      </w:r>
    </w:p>
    <w:p w:rsidR="003A6741" w:rsidRPr="004C103B" w:rsidRDefault="003A6741" w:rsidP="003A67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 вказане</w:t>
      </w:r>
    </w:p>
    <w:p w:rsidR="003A6741" w:rsidRPr="004C103B" w:rsidRDefault="003A6741" w:rsidP="003A674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3A6741" w:rsidRPr="004C103B" w:rsidRDefault="003A6741" w:rsidP="003A67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 рішення журі ( дода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3A6741" w:rsidRPr="004C103B" w:rsidRDefault="003A6741" w:rsidP="003A67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переможцями в командному заліку і нагородити:</w:t>
      </w:r>
    </w:p>
    <w:p w:rsidR="003A6741" w:rsidRPr="00AE3D68" w:rsidRDefault="003A6741" w:rsidP="003A67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І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упеня команду учнів Х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ЗОШ № 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;</w:t>
      </w:r>
    </w:p>
    <w:p w:rsidR="003A6741" w:rsidRPr="00AE3D68" w:rsidRDefault="003A6741" w:rsidP="003A67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ІІ ступеня команди учнів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bookmarkStart w:id="0" w:name="_GoBack"/>
      <w:bookmarkEnd w:id="0"/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26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6FB7"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6FB7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 №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області.</w:t>
      </w:r>
    </w:p>
    <w:p w:rsidR="003A6741" w:rsidRPr="00AE3D68" w:rsidRDefault="003A6741" w:rsidP="003A67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ІІІ ступеня команди учнів Х</w:t>
      </w:r>
      <w:r w:rsidR="00C26F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– ІІІ ступенів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</w:t>
      </w:r>
      <w:r w:rsidR="0023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ХЗОШ І – ІІІ ст. № 48</w:t>
      </w:r>
      <w:r w:rsid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міської ради Харківської області.</w:t>
      </w:r>
    </w:p>
    <w:p w:rsidR="003A6741" w:rsidRPr="004C103B" w:rsidRDefault="003A6741" w:rsidP="003A6741">
      <w:pPr>
        <w:numPr>
          <w:ilvl w:val="0"/>
          <w:numId w:val="1"/>
        </w:num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Керівнику районного методичного об‘єднання вчителів </w:t>
      </w:r>
      <w:r w:rsidR="00C26FD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26FDB">
        <w:rPr>
          <w:rFonts w:ascii="Times New Roman" w:hAnsi="Times New Roman"/>
          <w:sz w:val="28"/>
          <w:szCs w:val="28"/>
        </w:rPr>
        <w:t>Швидк</w:t>
      </w:r>
      <w:r w:rsidR="00735ACE">
        <w:rPr>
          <w:rFonts w:ascii="Times New Roman" w:hAnsi="Times New Roman"/>
          <w:sz w:val="28"/>
          <w:szCs w:val="28"/>
        </w:rPr>
        <w:t xml:space="preserve">ій </w:t>
      </w:r>
      <w:r w:rsidR="00C26FDB">
        <w:rPr>
          <w:rFonts w:ascii="Times New Roman" w:hAnsi="Times New Roman"/>
          <w:sz w:val="28"/>
          <w:szCs w:val="28"/>
        </w:rPr>
        <w:t>Т.М.</w:t>
      </w:r>
    </w:p>
    <w:p w:rsidR="003A6741" w:rsidRPr="004C103B" w:rsidRDefault="003A6741" w:rsidP="003A6741">
      <w:pPr>
        <w:numPr>
          <w:ilvl w:val="1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Сформувати районну команду для участі у </w:t>
      </w:r>
      <w:r w:rsidR="00C2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ХІІІ</w:t>
      </w:r>
      <w:r w:rsidR="00C26FDB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</w:t>
      </w:r>
      <w:r w:rsidR="00C2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C26FDB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турнірі юних винахідників і раціоналізаторів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3A6741" w:rsidRPr="004C103B" w:rsidRDefault="003A6741" w:rsidP="003A6741">
      <w:pPr>
        <w:autoSpaceDE w:val="0"/>
        <w:autoSpaceDN w:val="0"/>
        <w:adjustRightInd w:val="0"/>
        <w:spacing w:after="0" w:line="276" w:lineRule="auto"/>
        <w:ind w:left="567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26F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</w:p>
    <w:p w:rsidR="003A6741" w:rsidRPr="004C103B" w:rsidRDefault="003A6741" w:rsidP="003A6741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організаційно-методичне забезпечення щодо підготовки районної команди для участі у </w:t>
      </w:r>
      <w:r w:rsidR="00C2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ХІІІ</w:t>
      </w:r>
      <w:r w:rsidR="00C26FDB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</w:t>
      </w:r>
      <w:r w:rsidR="00C2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C26FDB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турнірі юних винахідників і раціоналізаторів</w:t>
      </w:r>
      <w:r w:rsidR="00C26FDB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3A6741" w:rsidRPr="004C103B" w:rsidRDefault="003A6741" w:rsidP="003A674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Методисту методичного центру Управління освіти </w:t>
      </w:r>
      <w:proofErr w:type="spellStart"/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Маліковій</w:t>
      </w:r>
      <w:proofErr w:type="spellEnd"/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надати звіт про проведення Т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урніру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заявку щодо участі у </w:t>
      </w:r>
      <w:r w:rsidR="00564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ХІІІ</w:t>
      </w:r>
      <w:r w:rsidR="00564BFD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</w:t>
      </w:r>
      <w:r w:rsidR="00564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564BFD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турнірі юних винахідників і раціоналізаторів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-11-х класів закладів загальної середньої освіти</w:t>
      </w:r>
      <w:r w:rsidRPr="004C10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до Науково</w:t>
      </w:r>
      <w:r w:rsidR="00564BF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4C10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</w:t>
      </w:r>
      <w:r w:rsidR="00564BF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4C10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методичного педагогічного центру Департаменту освіти Харківської міської ради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A6741" w:rsidRPr="004C103B" w:rsidRDefault="003A6741" w:rsidP="003A6741">
      <w:pPr>
        <w:autoSpaceDE w:val="0"/>
        <w:autoSpaceDN w:val="0"/>
        <w:adjustRightInd w:val="0"/>
        <w:spacing w:after="0" w:line="276" w:lineRule="auto"/>
        <w:ind w:left="810" w:hanging="4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64B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64B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3A6741" w:rsidRPr="004C103B" w:rsidRDefault="003A6741" w:rsidP="003A6741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загальної середньої освіти проаналізувати       результативність участі  команд  у Турнірі.</w:t>
      </w:r>
    </w:p>
    <w:p w:rsidR="003A6741" w:rsidRPr="004C103B" w:rsidRDefault="003A6741" w:rsidP="003A6741">
      <w:pPr>
        <w:spacing w:after="0" w:line="276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64B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3A6741" w:rsidRPr="004C103B" w:rsidRDefault="003A6741" w:rsidP="003A6741">
      <w:pPr>
        <w:numPr>
          <w:ilvl w:val="0"/>
          <w:numId w:val="3"/>
        </w:numPr>
        <w:spacing w:after="200" w:line="276" w:lineRule="auto"/>
        <w:ind w:left="142" w:firstLine="21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цей </w:t>
      </w:r>
      <w:r w:rsidRPr="004C1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3A6741" w:rsidRPr="004C103B" w:rsidRDefault="003A6741" w:rsidP="003A6741">
      <w:pPr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64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</w:p>
    <w:p w:rsidR="003A6741" w:rsidRPr="004C103B" w:rsidRDefault="003A6741" w:rsidP="003A67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3A6741" w:rsidRPr="004C103B" w:rsidRDefault="003A6741" w:rsidP="003A67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Default="003A6741" w:rsidP="003A6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Default="00564BFD" w:rsidP="003A6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6741"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Управління</w:t>
      </w:r>
      <w:r w:rsidR="003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="003A6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3A6741"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НИЖНИК</w:t>
      </w:r>
    </w:p>
    <w:p w:rsidR="003A6741" w:rsidRDefault="003A6741" w:rsidP="003A6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3A6741" w:rsidRPr="004C103B" w:rsidTr="00461143">
        <w:tc>
          <w:tcPr>
            <w:tcW w:w="5603" w:type="dxa"/>
          </w:tcPr>
          <w:p w:rsidR="003A6741" w:rsidRPr="004C103B" w:rsidRDefault="00564BFD" w:rsidP="004611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</w:t>
            </w:r>
            <w:r w:rsidR="003A6741" w:rsidRPr="004C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741" w:rsidRPr="004C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-уповноважена особа з питань запобігання та виявлення корупції</w:t>
            </w:r>
          </w:p>
          <w:p w:rsidR="003A6741" w:rsidRPr="004C103B" w:rsidRDefault="003A6741" w:rsidP="004611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741" w:rsidRPr="004C103B" w:rsidRDefault="003A6741" w:rsidP="00564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О.</w:t>
            </w:r>
            <w:r w:rsidR="0056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6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</w:t>
            </w:r>
          </w:p>
        </w:tc>
        <w:tc>
          <w:tcPr>
            <w:tcW w:w="1910" w:type="dxa"/>
          </w:tcPr>
          <w:p w:rsidR="003A6741" w:rsidRPr="004C103B" w:rsidRDefault="003A6741" w:rsidP="004611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Default="003A6741" w:rsidP="00564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56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ОСТАПЧУК  С.П.</w:t>
      </w:r>
    </w:p>
    <w:p w:rsidR="003A6741" w:rsidRDefault="003A6741" w:rsidP="003A67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BFD" w:rsidRPr="00564BFD" w:rsidRDefault="00564BFD" w:rsidP="003A674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64B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Малікова</w:t>
      </w:r>
      <w:proofErr w:type="spellEnd"/>
      <w:r w:rsidRPr="00564B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І.М. 0661350769</w:t>
      </w:r>
    </w:p>
    <w:p w:rsidR="003A6741" w:rsidRPr="004C103B" w:rsidRDefault="003A6741" w:rsidP="003A6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Додаток </w:t>
      </w: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до наказу Управління освіти</w:t>
      </w:r>
    </w:p>
    <w:p w:rsidR="003A6741" w:rsidRPr="004C103B" w:rsidRDefault="003A6741" w:rsidP="003A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4BFD"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564B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564BFD"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64B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564BFD"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.2019 № </w:t>
      </w:r>
      <w:r w:rsidR="00564B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214</w:t>
      </w:r>
    </w:p>
    <w:p w:rsidR="003A6741" w:rsidRPr="004C103B" w:rsidRDefault="003A6741" w:rsidP="003A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A6741" w:rsidRPr="004C103B" w:rsidRDefault="003A6741" w:rsidP="0056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( районного) етапу  </w:t>
      </w:r>
      <w:r w:rsidR="00564BFD" w:rsidRPr="0056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ХІІІ місько</w:t>
      </w:r>
      <w:r w:rsidR="0056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564BFD" w:rsidRPr="0056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турнір</w:t>
      </w:r>
      <w:r w:rsidR="0056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64BFD" w:rsidRPr="00564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юних винахідників і раціоналізаторів 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учнів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-11-х класів</w:t>
      </w: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  </w:t>
      </w:r>
      <w:r w:rsidR="00564B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64B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жовтня 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9 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jc w:val="center"/>
              <w:rPr>
                <w:b/>
                <w:sz w:val="28"/>
                <w:szCs w:val="28"/>
              </w:rPr>
            </w:pPr>
            <w:r w:rsidRPr="004C103B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3A6741" w:rsidRPr="004C103B" w:rsidRDefault="003A6741" w:rsidP="004611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103B">
              <w:rPr>
                <w:b/>
                <w:sz w:val="28"/>
                <w:szCs w:val="28"/>
              </w:rPr>
              <w:t>Загальна</w:t>
            </w:r>
            <w:proofErr w:type="spellEnd"/>
            <w:r w:rsidRPr="004C103B">
              <w:rPr>
                <w:b/>
                <w:sz w:val="28"/>
                <w:szCs w:val="28"/>
              </w:rPr>
              <w:t xml:space="preserve"> сума </w:t>
            </w:r>
            <w:proofErr w:type="spellStart"/>
            <w:r w:rsidRPr="004C103B">
              <w:rPr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2268" w:type="dxa"/>
          </w:tcPr>
          <w:p w:rsidR="003A6741" w:rsidRPr="004C103B" w:rsidRDefault="003A6741" w:rsidP="004611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103B">
              <w:rPr>
                <w:b/>
                <w:sz w:val="28"/>
                <w:szCs w:val="28"/>
              </w:rPr>
              <w:t>Місце</w:t>
            </w:r>
            <w:proofErr w:type="spellEnd"/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7</w:t>
            </w:r>
          </w:p>
        </w:tc>
        <w:tc>
          <w:tcPr>
            <w:tcW w:w="2589" w:type="dxa"/>
          </w:tcPr>
          <w:p w:rsidR="003A6741" w:rsidRPr="004C103B" w:rsidRDefault="00735ACE" w:rsidP="0073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2268" w:type="dxa"/>
          </w:tcPr>
          <w:p w:rsidR="003A6741" w:rsidRPr="004C103B" w:rsidRDefault="003A6741" w:rsidP="00461143">
            <w:pPr>
              <w:jc w:val="center"/>
              <w:rPr>
                <w:sz w:val="24"/>
                <w:szCs w:val="24"/>
              </w:rPr>
            </w:pPr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№10</w:t>
            </w:r>
          </w:p>
        </w:tc>
        <w:tc>
          <w:tcPr>
            <w:tcW w:w="2589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  <w:tc>
          <w:tcPr>
            <w:tcW w:w="2268" w:type="dxa"/>
          </w:tcPr>
          <w:p w:rsidR="003A6741" w:rsidRPr="004C103B" w:rsidRDefault="003A6741" w:rsidP="00461143">
            <w:pPr>
              <w:jc w:val="center"/>
              <w:rPr>
                <w:sz w:val="24"/>
                <w:szCs w:val="24"/>
              </w:rPr>
            </w:pPr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ХГ № 12</w:t>
            </w:r>
          </w:p>
        </w:tc>
        <w:tc>
          <w:tcPr>
            <w:tcW w:w="2589" w:type="dxa"/>
          </w:tcPr>
          <w:p w:rsidR="003A6741" w:rsidRPr="004C103B" w:rsidRDefault="003A6741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3A6741" w:rsidRPr="004C103B" w:rsidRDefault="003A6741" w:rsidP="00461143">
            <w:pPr>
              <w:jc w:val="center"/>
              <w:rPr>
                <w:sz w:val="24"/>
                <w:szCs w:val="24"/>
              </w:rPr>
            </w:pPr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34</w:t>
            </w:r>
          </w:p>
        </w:tc>
        <w:tc>
          <w:tcPr>
            <w:tcW w:w="2589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  <w:tc>
          <w:tcPr>
            <w:tcW w:w="2268" w:type="dxa"/>
          </w:tcPr>
          <w:p w:rsidR="003A6741" w:rsidRPr="004C103B" w:rsidRDefault="003A6741" w:rsidP="00461143">
            <w:pPr>
              <w:jc w:val="center"/>
              <w:rPr>
                <w:sz w:val="24"/>
                <w:szCs w:val="24"/>
              </w:rPr>
            </w:pPr>
            <w:r w:rsidRPr="004C103B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І</w:t>
            </w:r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35</w:t>
            </w:r>
          </w:p>
        </w:tc>
        <w:tc>
          <w:tcPr>
            <w:tcW w:w="2589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2268" w:type="dxa"/>
          </w:tcPr>
          <w:p w:rsidR="003A6741" w:rsidRPr="004C103B" w:rsidRDefault="003A6741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735ACE">
              <w:rPr>
                <w:sz w:val="24"/>
                <w:szCs w:val="24"/>
              </w:rPr>
              <w:t>І</w:t>
            </w:r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41</w:t>
            </w:r>
          </w:p>
        </w:tc>
        <w:tc>
          <w:tcPr>
            <w:tcW w:w="2589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</w:tc>
        <w:tc>
          <w:tcPr>
            <w:tcW w:w="2268" w:type="dxa"/>
          </w:tcPr>
          <w:p w:rsidR="003A6741" w:rsidRPr="004C103B" w:rsidRDefault="003A6741" w:rsidP="00461143">
            <w:pPr>
              <w:jc w:val="center"/>
              <w:rPr>
                <w:sz w:val="24"/>
                <w:szCs w:val="24"/>
              </w:rPr>
            </w:pPr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48</w:t>
            </w:r>
          </w:p>
        </w:tc>
        <w:tc>
          <w:tcPr>
            <w:tcW w:w="2589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2268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53</w:t>
            </w:r>
          </w:p>
        </w:tc>
        <w:tc>
          <w:tcPr>
            <w:tcW w:w="2589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  <w:tc>
          <w:tcPr>
            <w:tcW w:w="2268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ХСШ   № 66</w:t>
            </w:r>
          </w:p>
        </w:tc>
        <w:tc>
          <w:tcPr>
            <w:tcW w:w="2589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  <w:tc>
          <w:tcPr>
            <w:tcW w:w="2268" w:type="dxa"/>
          </w:tcPr>
          <w:p w:rsidR="003A6741" w:rsidRPr="004C103B" w:rsidRDefault="003A6741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3A6741" w:rsidRPr="004C103B" w:rsidTr="00461143">
        <w:tc>
          <w:tcPr>
            <w:tcW w:w="1914" w:type="dxa"/>
          </w:tcPr>
          <w:p w:rsidR="003A6741" w:rsidRPr="004C103B" w:rsidRDefault="003A6741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№120</w:t>
            </w:r>
          </w:p>
        </w:tc>
        <w:tc>
          <w:tcPr>
            <w:tcW w:w="2589" w:type="dxa"/>
          </w:tcPr>
          <w:p w:rsidR="003A6741" w:rsidRPr="004C103B" w:rsidRDefault="00735ACE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268" w:type="dxa"/>
          </w:tcPr>
          <w:p w:rsidR="003A6741" w:rsidRPr="004C103B" w:rsidRDefault="003A6741" w:rsidP="004611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1" w:rsidRPr="004C103B" w:rsidRDefault="003A6741" w:rsidP="003A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журі              О.І.    Надточій </w:t>
      </w:r>
    </w:p>
    <w:p w:rsidR="00C83E9F" w:rsidRDefault="00C83E9F"/>
    <w:sectPr w:rsidR="00C83E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41C3"/>
    <w:multiLevelType w:val="multilevel"/>
    <w:tmpl w:val="3A3C6F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160B84"/>
    <w:multiLevelType w:val="hybridMultilevel"/>
    <w:tmpl w:val="D50E0974"/>
    <w:lvl w:ilvl="0" w:tplc="FEC8FB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2A5"/>
    <w:multiLevelType w:val="hybridMultilevel"/>
    <w:tmpl w:val="26E8D480"/>
    <w:lvl w:ilvl="0" w:tplc="349CA7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41"/>
    <w:rsid w:val="000C5AB1"/>
    <w:rsid w:val="00236031"/>
    <w:rsid w:val="002C0C6E"/>
    <w:rsid w:val="003A6741"/>
    <w:rsid w:val="00406FB7"/>
    <w:rsid w:val="00564BFD"/>
    <w:rsid w:val="00735ACE"/>
    <w:rsid w:val="008960EB"/>
    <w:rsid w:val="00C26FDB"/>
    <w:rsid w:val="00C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8EE9"/>
  <w15:chartTrackingRefBased/>
  <w15:docId w15:val="{79F3A1D9-4410-4A7B-BB56-EE023A6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2019-11-08T08:05:00Z</cp:lastPrinted>
  <dcterms:created xsi:type="dcterms:W3CDTF">2019-10-18T12:21:00Z</dcterms:created>
  <dcterms:modified xsi:type="dcterms:W3CDTF">2019-11-08T08:05:00Z</dcterms:modified>
</cp:coreProperties>
</file>